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360"/>
      </w:tblGrid>
      <w:tr>
        <w:tc>
          <w:tcPr>
            <w:tcW w:type="dxa" w:w="9360"/>
            <w:shd w:val="clear" w:color="auto" w:fill="0B0D0B"/>
          </w:tcPr>
          <w:p>
            <w:r>
              <w:rPr>
                <w:b/>
                <w:color w:val="76B900"/>
                <w:sz w:val="20"/>
              </w:rPr>
              <w:t>MyTCRPlus Academy · Policy Template</w:t>
            </w:r>
          </w:p>
          <w:p>
            <w:r>
              <w:rPr>
                <w:b/>
                <w:color w:val="FFFFFF"/>
                <w:sz w:val="52"/>
              </w:rPr>
              <w:t>Master TCPA Compliance Policy</w:t>
            </w:r>
          </w:p>
          <w:p>
            <w:r>
              <w:rPr>
                <w:i/>
                <w:color w:val="C8CBC8"/>
                <w:sz w:val="24"/>
              </w:rPr>
              <w:t>Business text messaging and calling under the TCPA, carrier rules, and 10DLC registration</w:t>
            </w:r>
          </w:p>
          <w:p>
            <w:r>
              <w:rPr>
                <w:color w:val="8B908B"/>
                <w:sz w:val="18"/>
              </w:rPr>
              <w:t>Rules current as of September 2026</w:t>
            </w:r>
          </w:p>
        </w:tc>
      </w:tr>
    </w:tbl>
    <w:p/>
    <w:tbl>
      <w:tblPr>
        <w:tblStyle w:val="TableGrid"/>
        <w:tblW w:type="auto" w:w="0"/>
        <w:tblLook w:firstColumn="1" w:firstRow="1" w:lastColumn="0" w:lastRow="0" w:noHBand="0" w:noVBand="1" w:val="04A0"/>
      </w:tblPr>
      <w:tblGrid>
        <w:gridCol w:w="4680"/>
        <w:gridCol w:w="4680"/>
      </w:tblGrid>
      <w:tr>
        <w:tc>
          <w:tcPr>
            <w:tcW w:type="dxa" w:w="4680"/>
            <w:shd w:val="clear" w:color="auto" w:fill="EEF7DD"/>
          </w:tcPr>
          <w:p>
            <w:r>
              <w:rPr>
                <w:b/>
              </w:rPr>
              <w:t>Organization</w:t>
            </w:r>
          </w:p>
        </w:tc>
        <w:tc>
          <w:tcPr>
            <w:tcW w:type="dxa" w:w="4680"/>
          </w:tcPr>
          <w:p>
            <w:r>
              <w:t>[Company Name]</w:t>
            </w:r>
          </w:p>
        </w:tc>
      </w:tr>
      <w:tr>
        <w:tc>
          <w:tcPr>
            <w:tcW w:type="dxa" w:w="4680"/>
            <w:shd w:val="clear" w:color="auto" w:fill="EEF7DD"/>
          </w:tcPr>
          <w:p>
            <w:r>
              <w:rPr>
                <w:b/>
              </w:rPr>
              <w:t>Policy owner</w:t>
            </w:r>
          </w:p>
        </w:tc>
        <w:tc>
          <w:tcPr>
            <w:tcW w:type="dxa" w:w="4680"/>
          </w:tcPr>
          <w:p>
            <w:r>
              <w:t>[Compliance Officer name, title]</w:t>
            </w:r>
          </w:p>
        </w:tc>
      </w:tr>
      <w:tr>
        <w:tc>
          <w:tcPr>
            <w:tcW w:type="dxa" w:w="4680"/>
            <w:shd w:val="clear" w:color="auto" w:fill="EEF7DD"/>
          </w:tcPr>
          <w:p>
            <w:r>
              <w:rPr>
                <w:b/>
              </w:rPr>
              <w:t>Approved by</w:t>
            </w:r>
          </w:p>
        </w:tc>
        <w:tc>
          <w:tcPr>
            <w:tcW w:type="dxa" w:w="4680"/>
          </w:tcPr>
          <w:p>
            <w:r>
              <w:t>[Name, title]</w:t>
            </w:r>
          </w:p>
        </w:tc>
      </w:tr>
      <w:tr>
        <w:tc>
          <w:tcPr>
            <w:tcW w:type="dxa" w:w="4680"/>
            <w:shd w:val="clear" w:color="auto" w:fill="EEF7DD"/>
          </w:tcPr>
          <w:p>
            <w:r>
              <w:rPr>
                <w:b/>
              </w:rPr>
              <w:t>Effective date</w:t>
            </w:r>
          </w:p>
        </w:tc>
        <w:tc>
          <w:tcPr>
            <w:tcW w:type="dxa" w:w="4680"/>
          </w:tcPr>
          <w:p>
            <w:r>
              <w:t>[Date]</w:t>
            </w:r>
          </w:p>
        </w:tc>
      </w:tr>
      <w:tr>
        <w:tc>
          <w:tcPr>
            <w:tcW w:type="dxa" w:w="4680"/>
            <w:shd w:val="clear" w:color="auto" w:fill="EEF7DD"/>
          </w:tcPr>
          <w:p>
            <w:r>
              <w:rPr>
                <w:b/>
              </w:rPr>
              <w:t>Next review</w:t>
            </w:r>
          </w:p>
        </w:tc>
        <w:tc>
          <w:tcPr>
            <w:tcW w:type="dxa" w:w="4680"/>
          </w:tcPr>
          <w:p>
            <w:r>
              <w:t>[Date, at least annually]</w:t>
            </w:r>
          </w:p>
        </w:tc>
      </w:tr>
    </w:tbl>
    <w:p>
      <w:pPr>
        <w:spacing w:after="120"/>
      </w:pPr>
      <w:r>
        <w:rPr>
          <w:b w:val="0"/>
          <w:i/>
          <w:color w:val="5F645F"/>
          <w:sz w:val="18"/>
        </w:rPr>
        <w:t>How to use this template: replace every [bracketed] item, delete guidance notes in italics, and have legal counsel review the finished policy before adoption. The template reflects federal rules and common carrier requirements; add state requirements for every state where you message consumers.</w:t>
      </w:r>
    </w:p>
    <w:p>
      <w:pPr>
        <w:pStyle w:val="Heading1"/>
        <w:spacing w:before="320"/>
      </w:pPr>
      <w:r>
        <w:rPr>
          <w:color w:val="4E7A00"/>
        </w:rPr>
        <w:t xml:space="preserve">1. </w:t>
      </w:r>
      <w:r>
        <w:t>Purpose and scope</w:t>
      </w:r>
    </w:p>
    <w:p>
      <w:pPr>
        <w:spacing w:after="120"/>
      </w:pPr>
      <w:r>
        <w:rPr>
          <w:b w:val="0"/>
          <w:i w:val="0"/>
        </w:rPr>
        <w:t>This policy sets the rules [Company Name] follows when sending text messages and making calls to consumers, so that every message is sent with the right consent, honors opt-outs, and matches our registered 10DLC campaigns.</w:t>
      </w:r>
    </w:p>
    <w:p>
      <w:pPr>
        <w:spacing w:after="120"/>
      </w:pPr>
      <w:r>
        <w:rPr>
          <w:b w:val="0"/>
          <w:i w:val="0"/>
        </w:rPr>
        <w:t>It applies to all employees, contractors, agencies, and vendors who send messages on our behalf, on every platform and phone number we use, including 10-digit long codes, toll-free numbers, and short codes.</w:t>
      </w:r>
    </w:p>
    <w:p>
      <w:pPr>
        <w:pStyle w:val="Heading1"/>
        <w:spacing w:before="320"/>
      </w:pPr>
      <w:r>
        <w:rPr>
          <w:color w:val="4E7A00"/>
        </w:rPr>
        <w:t xml:space="preserve">2. </w:t>
      </w:r>
      <w:r>
        <w:t>Definitions</w:t>
      </w:r>
    </w:p>
    <w:p>
      <w:pPr>
        <w:pStyle w:val="ListBullet"/>
      </w:pPr>
      <w:r>
        <w:rPr>
          <w:b/>
        </w:rPr>
        <w:t xml:space="preserve">TCPA: </w:t>
      </w:r>
      <w:r>
        <w:t>the Telephone Consumer Protection Act, 47 U.S.C. § 227, and the FCC rules that implement it.</w:t>
      </w:r>
    </w:p>
    <w:p>
      <w:pPr>
        <w:pStyle w:val="ListBullet"/>
      </w:pPr>
      <w:r>
        <w:rPr>
          <w:b/>
        </w:rPr>
        <w:t xml:space="preserve">Marketing message: </w:t>
      </w:r>
      <w:r>
        <w:t>any message that encourages the purchase of goods or services, including offers, discounts, and incentives.</w:t>
      </w:r>
    </w:p>
    <w:p>
      <w:pPr>
        <w:pStyle w:val="ListBullet"/>
      </w:pPr>
      <w:r>
        <w:rPr>
          <w:b/>
        </w:rPr>
        <w:t xml:space="preserve">Informational message: </w:t>
      </w:r>
      <w:r>
        <w:t>a message about an existing relationship or transaction, such as confirmations, reminders, and account alerts.</w:t>
      </w:r>
    </w:p>
    <w:p>
      <w:pPr>
        <w:pStyle w:val="ListBullet"/>
      </w:pPr>
      <w:r>
        <w:rPr>
          <w:b/>
        </w:rPr>
        <w:t xml:space="preserve">Prior express written consent (PEWC): </w:t>
      </w:r>
      <w:r>
        <w:t>the signed written agreement required before sending marketing messages with automated technology (Section 4).</w:t>
      </w:r>
    </w:p>
    <w:p>
      <w:pPr>
        <w:pStyle w:val="ListBullet"/>
      </w:pPr>
      <w:r>
        <w:rPr>
          <w:b/>
        </w:rPr>
        <w:t xml:space="preserve">Revocation: </w:t>
      </w:r>
      <w:r>
        <w:t>a request to stop messages, made by any reasonable means.</w:t>
      </w:r>
    </w:p>
    <w:p>
      <w:pPr>
        <w:pStyle w:val="ListBullet"/>
      </w:pPr>
      <w:r>
        <w:rPr>
          <w:b/>
        </w:rPr>
        <w:t xml:space="preserve">10DLC: </w:t>
      </w:r>
      <w:r>
        <w:t>application-to-person messaging over 10-digit long codes, registered through The Campaign Registry (TCR).</w:t>
      </w:r>
    </w:p>
    <w:p>
      <w:pPr>
        <w:pStyle w:val="Heading1"/>
        <w:spacing w:before="320"/>
      </w:pPr>
      <w:r>
        <w:rPr>
          <w:color w:val="4E7A00"/>
        </w:rPr>
        <w:t xml:space="preserve">3. </w:t>
      </w:r>
      <w:r>
        <w:t>Roles and responsibilities</w:t>
      </w:r>
    </w:p>
    <w:p>
      <w:pPr>
        <w:pStyle w:val="ListBullet"/>
        <w:spacing w:after="60"/>
      </w:pPr>
      <w:r>
        <w:t>Compliance Officer ([Name]): owns this policy, approves new campaigns and consent language, runs audits, and reports to leadership.</w:t>
      </w:r>
    </w:p>
    <w:p>
      <w:pPr>
        <w:pStyle w:val="ListBullet"/>
        <w:spacing w:after="60"/>
      </w:pPr>
      <w:r>
        <w:t>Marketing and operations: follow this policy, submit new message programs for approval, and keep consent records complete.</w:t>
      </w:r>
    </w:p>
    <w:p>
      <w:pPr>
        <w:pStyle w:val="ListBullet"/>
        <w:spacing w:after="60"/>
      </w:pPr>
      <w:r>
        <w:t>IT / platform owners: maintain opt-out processing, suppression lists, consent records, and access controls.</w:t>
      </w:r>
    </w:p>
    <w:p>
      <w:pPr>
        <w:pStyle w:val="ListBullet"/>
        <w:spacing w:after="60"/>
      </w:pPr>
      <w:r>
        <w:t>Vendors: comply with this policy by contract (Section 10).</w:t>
      </w:r>
    </w:p>
    <w:p>
      <w:pPr>
        <w:pStyle w:val="Heading1"/>
        <w:spacing w:before="320"/>
      </w:pPr>
      <w:r>
        <w:rPr>
          <w:color w:val="4E7A00"/>
        </w:rPr>
        <w:t xml:space="preserve">4. </w:t>
      </w:r>
      <w:r>
        <w:t>Consent requirements</w:t>
      </w:r>
    </w:p>
    <w:p>
      <w:pPr>
        <w:pStyle w:val="Heading2"/>
      </w:pPr>
      <w:r>
        <w:t>4.1 Marketing messages require prior express written consent</w:t>
      </w:r>
    </w:p>
    <w:p>
      <w:pPr>
        <w:spacing w:after="120"/>
      </w:pPr>
      <w:r>
        <w:rPr>
          <w:b w:val="0"/>
          <w:i w:val="0"/>
        </w:rPr>
        <w:t>Before sending a marketing message, we must have a written agreement, which may be electronic under the E-SIGN Act, that:</w:t>
      </w:r>
    </w:p>
    <w:p>
      <w:pPr>
        <w:pStyle w:val="ListBullet"/>
        <w:spacing w:after="60"/>
      </w:pPr>
      <w:r>
        <w:t>clearly and conspicuously authorizes [Company Name] to send marketing messages using automated technology;</w:t>
      </w:r>
    </w:p>
    <w:p>
      <w:pPr>
        <w:pStyle w:val="ListBullet"/>
        <w:spacing w:after="60"/>
      </w:pPr>
      <w:r>
        <w:t>identifies the phone number that may be messaged;</w:t>
      </w:r>
    </w:p>
    <w:p>
      <w:pPr>
        <w:pStyle w:val="ListBullet"/>
        <w:spacing w:after="60"/>
      </w:pPr>
      <w:r>
        <w:t>states that consent is not a condition of purchase;</w:t>
      </w:r>
    </w:p>
    <w:p>
      <w:pPr>
        <w:pStyle w:val="ListBullet"/>
        <w:spacing w:after="60"/>
      </w:pPr>
      <w:r>
        <w:t>discloses message frequency, that message and data rates may apply, and how to get help and opt out; and</w:t>
      </w:r>
    </w:p>
    <w:p>
      <w:pPr>
        <w:pStyle w:val="ListBullet"/>
        <w:spacing w:after="60"/>
      </w:pPr>
      <w:r>
        <w:t>is captured with an unchecked box or equivalent affirmative action; pre-checked boxes do not count.</w:t>
      </w:r>
    </w:p>
    <w:p>
      <w:pPr>
        <w:pStyle w:val="Heading2"/>
      </w:pPr>
      <w:r>
        <w:t>4.2 Informational messages</w:t>
      </w:r>
    </w:p>
    <w:p>
      <w:pPr>
        <w:spacing w:after="120"/>
      </w:pPr>
      <w:r>
        <w:rPr>
          <w:b w:val="0"/>
          <w:i w:val="0"/>
        </w:rPr>
        <w:t>Informational messages require at least prior express consent, such as the consumer providing their number for that purpose. Adding an offer, discount, or incentive to an informational message makes it a marketing message.</w:t>
      </w:r>
    </w:p>
    <w:p>
      <w:pPr>
        <w:pStyle w:val="Heading2"/>
      </w:pPr>
      <w:r>
        <w:t>4.3 Seller-specific consent</w:t>
      </w:r>
    </w:p>
    <w:p>
      <w:pPr>
        <w:spacing w:after="120"/>
      </w:pPr>
      <w:r>
        <w:rPr>
          <w:b w:val="0"/>
          <w:i w:val="0"/>
        </w:rPr>
        <w:t>Consent must name [Company Name] (and any affiliated brands) as the sender. We do not rely on consent collected for unnamed "marketing partners." Although the FCC's one-to-one consent rule was vacated in 2025, seller-specific consent remains our standard because it is the clearest evidence of consent.</w:t>
      </w:r>
    </w:p>
    <w:p>
      <w:pPr>
        <w:pStyle w:val="Heading1"/>
        <w:spacing w:before="320"/>
      </w:pPr>
      <w:r>
        <w:rPr>
          <w:color w:val="4E7A00"/>
        </w:rPr>
        <w:t xml:space="preserve">5. </w:t>
      </w:r>
      <w:r>
        <w:t>Consent records and retention</w:t>
      </w:r>
    </w:p>
    <w:p>
      <w:pPr>
        <w:spacing w:after="120"/>
      </w:pPr>
      <w:r>
        <w:rPr>
          <w:b w:val="0"/>
          <w:i w:val="0"/>
        </w:rPr>
        <w:t>For every number we message we keep: the number, date and time of consent, source (web form URL, keyword, call recording, paper form), the exact consent language shown, IP address or other capture evidence where available, and any later revocation. Records are kept for at least five years after the last message (the federal limitations period is four years).</w:t>
      </w:r>
    </w:p>
    <w:p>
      <w:pPr>
        <w:pStyle w:val="Heading1"/>
        <w:spacing w:before="320"/>
      </w:pPr>
      <w:r>
        <w:rPr>
          <w:color w:val="4E7A00"/>
        </w:rPr>
        <w:t xml:space="preserve">6. </w:t>
      </w:r>
      <w:r>
        <w:t>Opt-out and revocation</w:t>
      </w:r>
    </w:p>
    <w:p>
      <w:pPr>
        <w:pStyle w:val="ListBullet"/>
        <w:spacing w:after="60"/>
      </w:pPr>
      <w:r>
        <w:t>Honor STOP, STOPALL, UNSUBSCRIBE, CANCEL, END, QUIT, REVOKE, and OPT OUT, and any other reasonable request (a reply like "please stop", an email, a call, or an in-person request).</w:t>
      </w:r>
    </w:p>
    <w:p>
      <w:pPr>
        <w:pStyle w:val="ListBullet"/>
        <w:spacing w:after="60"/>
      </w:pPr>
      <w:r>
        <w:t>Process every revocation within 10 business days across all systems and channels it applies to.</w:t>
      </w:r>
    </w:p>
    <w:p>
      <w:pPr>
        <w:pStyle w:val="ListBullet"/>
        <w:spacing w:after="60"/>
      </w:pPr>
      <w:r>
        <w:t>Send at most one confirmation message, within 5 minutes, containing no marketing.</w:t>
      </w:r>
    </w:p>
    <w:p>
      <w:pPr>
        <w:pStyle w:val="ListBullet"/>
        <w:spacing w:after="60"/>
      </w:pPr>
      <w:r>
        <w:t>Add the number to the internal do-not-contact list and keep it there unless the consumer opts in again.</w:t>
      </w:r>
    </w:p>
    <w:p>
      <w:pPr>
        <w:pStyle w:val="Heading1"/>
        <w:spacing w:before="320"/>
      </w:pPr>
      <w:r>
        <w:rPr>
          <w:color w:val="4E7A00"/>
        </w:rPr>
        <w:t xml:space="preserve">7. </w:t>
      </w:r>
      <w:r>
        <w:t>Quiet hours and frequency</w:t>
      </w:r>
    </w:p>
    <w:p>
      <w:pPr>
        <w:pStyle w:val="ListBullet"/>
        <w:spacing w:after="60"/>
      </w:pPr>
      <w:r>
        <w:t>Send marketing messages only between 8 a.m. and 9 p.m. in the recipient's local time zone.</w:t>
      </w:r>
    </w:p>
    <w:p>
      <w:pPr>
        <w:pStyle w:val="ListBullet"/>
        <w:spacing w:after="60"/>
      </w:pPr>
      <w:r>
        <w:t>Apply stricter state windows where required (for example 8 a.m. to 8 p.m. in Florida, Oklahoma, Maryland, and Washington, and 9 a.m. to 8 p.m. in Connecticut) and any state limits on message frequency.</w:t>
      </w:r>
    </w:p>
    <w:p>
      <w:pPr>
        <w:pStyle w:val="ListBullet"/>
        <w:spacing w:after="60"/>
      </w:pPr>
      <w:r>
        <w:t>Send no more messages than the frequency disclosed at opt-in.</w:t>
      </w:r>
    </w:p>
    <w:p>
      <w:pPr>
        <w:pStyle w:val="Heading1"/>
        <w:spacing w:before="320"/>
      </w:pPr>
      <w:r>
        <w:rPr>
          <w:color w:val="4E7A00"/>
        </w:rPr>
        <w:t xml:space="preserve">8. </w:t>
      </w:r>
      <w:r>
        <w:t>Do Not Call compliance</w:t>
      </w:r>
    </w:p>
    <w:p>
      <w:pPr>
        <w:spacing w:after="120"/>
      </w:pPr>
      <w:r>
        <w:rPr>
          <w:b w:val="0"/>
          <w:i w:val="0"/>
        </w:rPr>
        <w:t>Scrub marketing lists against the National Do Not Call Registry at least every 31 days and against our internal do-not-contact list before every campaign. Consumers who have given PEWC to [Company Name] may be messaged despite a Registry listing unless they revoke.</w:t>
      </w:r>
    </w:p>
    <w:p>
      <w:pPr>
        <w:pStyle w:val="Heading1"/>
        <w:spacing w:before="320"/>
      </w:pPr>
      <w:r>
        <w:rPr>
          <w:color w:val="4E7A00"/>
        </w:rPr>
        <w:t xml:space="preserve">9. </w:t>
      </w:r>
      <w:r>
        <w:t>10DLC registration and message content</w:t>
      </w:r>
    </w:p>
    <w:p>
      <w:pPr>
        <w:pStyle w:val="ListBullet"/>
        <w:spacing w:after="60"/>
      </w:pPr>
      <w:r>
        <w:t>Register the brand and every campaign with The Campaign Registry through our messaging provider before sending.</w:t>
      </w:r>
    </w:p>
    <w:p>
      <w:pPr>
        <w:pStyle w:val="ListBullet"/>
        <w:spacing w:after="60"/>
      </w:pPr>
      <w:r>
        <w:t>Send only content that matches the registered use case and sample messages.</w:t>
      </w:r>
    </w:p>
    <w:p>
      <w:pPr>
        <w:pStyle w:val="ListBullet"/>
        <w:spacing w:after="60"/>
      </w:pPr>
      <w:r>
        <w:t>Identify [Company Name] by name and include opt-out instructions in the first message and regularly thereafter.</w:t>
      </w:r>
    </w:p>
    <w:p>
      <w:pPr>
        <w:pStyle w:val="ListBullet"/>
        <w:spacing w:after="60"/>
      </w:pPr>
      <w:r>
        <w:t>Do not send prohibited or restricted content (SHAFT: sex, hate, alcohol, firearms, tobacco/cannabis) unless the campaign is approved for it and age-gated.</w:t>
      </w:r>
    </w:p>
    <w:p>
      <w:pPr>
        <w:pStyle w:val="ListBullet"/>
        <w:spacing w:after="60"/>
      </w:pPr>
      <w:r>
        <w:t>Use branded or full URLs; avoid public link shorteners.</w:t>
      </w:r>
    </w:p>
    <w:p>
      <w:pPr>
        <w:pStyle w:val="Heading1"/>
        <w:spacing w:before="320"/>
      </w:pPr>
      <w:r>
        <w:rPr>
          <w:color w:val="4E7A00"/>
        </w:rPr>
        <w:t xml:space="preserve">10. </w:t>
      </w:r>
      <w:r>
        <w:t>Vendor management</w:t>
      </w:r>
    </w:p>
    <w:p>
      <w:pPr>
        <w:spacing w:after="120"/>
      </w:pPr>
      <w:r>
        <w:rPr>
          <w:b w:val="0"/>
          <w:i w:val="0"/>
        </w:rPr>
        <w:t>Vendors who send messages or collect consent for us must follow this policy by contract, maintain consent records we can access within [5] business days, honor opt-outs we send them, and notify us of any complaint or regulatory inquiry within [2] business days. Complete the MyTCRPlus Vendor Due Diligence Questionnaire before onboarding and annually.</w:t>
      </w:r>
    </w:p>
    <w:p>
      <w:pPr>
        <w:pStyle w:val="Heading1"/>
        <w:spacing w:before="320"/>
      </w:pPr>
      <w:r>
        <w:rPr>
          <w:color w:val="4E7A00"/>
        </w:rPr>
        <w:t xml:space="preserve">11. </w:t>
      </w:r>
      <w:r>
        <w:t>Training</w:t>
      </w:r>
    </w:p>
    <w:p>
      <w:pPr>
        <w:spacing w:after="120"/>
      </w:pPr>
      <w:r>
        <w:rPr>
          <w:b w:val="0"/>
          <w:i w:val="0"/>
        </w:rPr>
        <w:t>Everyone who creates or sends messages completes TCPA and 10DLC training when they start and at least annually. The Compliance Officer keeps training records.</w:t>
      </w:r>
    </w:p>
    <w:p>
      <w:pPr>
        <w:pStyle w:val="Heading1"/>
        <w:spacing w:before="320"/>
      </w:pPr>
      <w:r>
        <w:rPr>
          <w:color w:val="4E7A00"/>
        </w:rPr>
        <w:t xml:space="preserve">12. </w:t>
      </w:r>
      <w:r>
        <w:t>Monitoring and audits</w:t>
      </w:r>
    </w:p>
    <w:p>
      <w:pPr>
        <w:pStyle w:val="ListBullet"/>
        <w:spacing w:after="60"/>
      </w:pPr>
      <w:r>
        <w:t>Monthly: review opt-out rate, complaint rate, delivery rate, opt-out processing time, and consent-record completeness (see the Compliance KPI Dashboard).</w:t>
      </w:r>
    </w:p>
    <w:p>
      <w:pPr>
        <w:pStyle w:val="ListBullet"/>
        <w:spacing w:after="60"/>
      </w:pPr>
      <w:r>
        <w:t>Quarterly: sample-audit consent records and new message content against registered campaigns.</w:t>
      </w:r>
    </w:p>
    <w:p>
      <w:pPr>
        <w:pStyle w:val="ListBullet"/>
        <w:spacing w:after="60"/>
      </w:pPr>
      <w:r>
        <w:t>Annually: review this policy, vendor compliance, and state law changes.</w:t>
      </w:r>
    </w:p>
    <w:p>
      <w:pPr>
        <w:pStyle w:val="Heading1"/>
        <w:spacing w:before="320"/>
      </w:pPr>
      <w:r>
        <w:rPr>
          <w:color w:val="4E7A00"/>
        </w:rPr>
        <w:t xml:space="preserve">13. </w:t>
      </w:r>
      <w:r>
        <w:t>Incident response</w:t>
      </w:r>
    </w:p>
    <w:p>
      <w:pPr>
        <w:spacing w:after="120"/>
      </w:pPr>
      <w:r>
        <w:rPr>
          <w:b w:val="0"/>
          <w:i w:val="0"/>
        </w:rPr>
        <w:t>If we find messages sent without consent or after revocation, or receive a complaint, demand letter, or regulatory inquiry: stop the affected messages, preserve records, notify the Compliance Officer and legal counsel within [1] business day, identify affected numbers, fix the cause, and document the response.</w:t>
      </w:r>
    </w:p>
    <w:p>
      <w:pPr>
        <w:pStyle w:val="Heading1"/>
        <w:spacing w:before="320"/>
      </w:pPr>
      <w:r>
        <w:rPr>
          <w:color w:val="4E7A00"/>
        </w:rPr>
        <w:t xml:space="preserve">14. </w:t>
      </w:r>
      <w:r>
        <w:t>Policy review and approval</w:t>
      </w:r>
    </w:p>
    <w:p>
      <w:pPr>
        <w:spacing w:after="120"/>
      </w:pPr>
      <w:r>
        <w:rPr>
          <w:b w:val="0"/>
          <w:i w:val="0"/>
        </w:rPr>
        <w:t>The Compliance Officer reviews this policy at least annually and whenever rules change. Changes are approved by [title].</w:t>
      </w:r>
    </w:p>
    <w:tbl>
      <w:tblPr>
        <w:tblStyle w:val="TableGrid"/>
        <w:tblW w:type="auto" w:w="0"/>
        <w:tblLook w:firstColumn="1" w:firstRow="1" w:lastColumn="0" w:lastRow="0" w:noHBand="0" w:noVBand="1" w:val="04A0"/>
      </w:tblPr>
      <w:tblGrid>
        <w:gridCol w:w="3120"/>
        <w:gridCol w:w="3120"/>
        <w:gridCol w:w="3120"/>
      </w:tblGrid>
      <w:tr>
        <w:tc>
          <w:tcPr>
            <w:tcW w:type="dxa" w:w="3120"/>
            <w:shd w:val="clear" w:color="auto" w:fill="EEF7DD"/>
          </w:tcPr>
          <w:p>
            <w:r>
              <w:rPr>
                <w:b/>
              </w:rPr>
              <w:t>Name and title</w:t>
            </w:r>
          </w:p>
        </w:tc>
        <w:tc>
          <w:tcPr>
            <w:tcW w:type="dxa" w:w="3120"/>
            <w:shd w:val="clear" w:color="auto" w:fill="EEF7DD"/>
          </w:tcPr>
          <w:p>
            <w:r>
              <w:rPr>
                <w:b/>
              </w:rPr>
              <w:t>Signature</w:t>
            </w:r>
          </w:p>
        </w:tc>
        <w:tc>
          <w:tcPr>
            <w:tcW w:type="dxa" w:w="3120"/>
            <w:shd w:val="clear" w:color="auto" w:fill="EEF7DD"/>
          </w:tcPr>
          <w:p>
            <w:r>
              <w:rPr>
                <w:b/>
              </w:rPr>
              <w:t>Date</w:t>
            </w: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bl>
    <w:p>
      <w:pPr>
        <w:spacing w:after="120"/>
      </w:pPr>
      <w:r>
        <w:rPr>
          <w:b w:val="0"/>
          <w:i w:val="0"/>
        </w:rPr>
      </w:r>
    </w:p>
    <w:p>
      <w:pPr>
        <w:spacing w:after="120"/>
      </w:pPr>
      <w:r>
        <w:rPr>
          <w:b w:val="0"/>
          <w:i/>
          <w:color w:val="5F645F"/>
          <w:sz w:val="18"/>
        </w:rPr>
        <w:t>This template is provided by MyTCRPlus Academy for educational purposes. It is not legal advice and does not create an attorney-client relationship. Rules and fees change; verify current requirements with counsel and your messaging provider.</w:t>
      </w:r>
    </w:p>
    <w:sectPr w:rsidR="00FC693F" w:rsidRPr="0006063C" w:rsidSect="00034616">
      <w:headerReference w:type="default" r:id="rId9"/>
      <w:footerReference w:type="default" r:id="rId10"/>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F645F"/>
        <w:sz w:val="16"/>
      </w:rPr>
      <w:t>Template for educational use. Not legal advice. Have counsel review before adoption.  ·  [Company Name] Confidential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4E7A00"/>
        <w:sz w:val="16"/>
      </w:rPr>
      <w:t>MYTCRPLUS ACADEMY  ·  MODULE 10  ·  MASTER TCPA COMPLIANCE POLICY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D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Calibri"/>
      <w:b/>
      <w:bCs/>
      <w:color w:val="1A1D1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Calibri"/>
      <w:b/>
      <w:bCs/>
      <w:color w:val="1A1D1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TCPA Compliance Policy Template</dc:title>
  <dc:subject>MyTCRPlus Academy Module 10 resource</dc:subject>
  <dc:creator>MyTCRPlus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